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FA448">
      <w:pPr>
        <w:keepNext w:val="0"/>
        <w:keepLines w:val="0"/>
        <w:pageBreakBefore w:val="0"/>
        <w:widowControl/>
        <w:kinsoku w:val="0"/>
        <w:wordWrap/>
        <w:overflowPunct/>
        <w:topLinePunct w:val="0"/>
        <w:autoSpaceDE w:val="0"/>
        <w:autoSpaceDN w:val="0"/>
        <w:bidi w:val="0"/>
        <w:adjustRightInd w:val="0"/>
        <w:snapToGrid w:val="0"/>
        <w:spacing w:line="227" w:lineRule="auto"/>
        <w:ind w:left="0"/>
        <w:textAlignment w:val="baseline"/>
        <w:rPr>
          <w:rFonts w:hint="eastAsia" w:asciiTheme="minorEastAsia" w:hAnsiTheme="minorEastAsia" w:eastAsiaTheme="minorEastAsia" w:cstheme="minorEastAsia"/>
          <w:color w:val="auto"/>
          <w:spacing w:val="0"/>
          <w:sz w:val="28"/>
          <w:szCs w:val="28"/>
          <w:lang w:val="en-US" w:eastAsia="zh-CN"/>
        </w:rPr>
      </w:pPr>
      <w:r>
        <w:rPr>
          <w:rFonts w:hint="eastAsia" w:asciiTheme="minorEastAsia" w:hAnsiTheme="minorEastAsia" w:eastAsiaTheme="minorEastAsia" w:cstheme="minorEastAsia"/>
          <w:color w:val="auto"/>
          <w:spacing w:val="0"/>
          <w:sz w:val="28"/>
          <w:szCs w:val="28"/>
          <w:lang w:val="en-US" w:eastAsia="zh-CN"/>
        </w:rPr>
        <w:t>附件4：</w:t>
      </w:r>
    </w:p>
    <w:p w14:paraId="4789D531">
      <w:pPr>
        <w:keepNext w:val="0"/>
        <w:keepLines w:val="0"/>
        <w:pageBreakBefore w:val="0"/>
        <w:widowControl/>
        <w:kinsoku w:val="0"/>
        <w:wordWrap/>
        <w:overflowPunct/>
        <w:topLinePunct w:val="0"/>
        <w:autoSpaceDE w:val="0"/>
        <w:autoSpaceDN w:val="0"/>
        <w:bidi w:val="0"/>
        <w:adjustRightInd w:val="0"/>
        <w:snapToGrid w:val="0"/>
        <w:spacing w:after="0" w:line="226" w:lineRule="auto"/>
        <w:ind w:left="0"/>
        <w:jc w:val="center"/>
        <w:textAlignment w:val="baseline"/>
        <w:rPr>
          <w:rFonts w:ascii="黑体" w:hAnsi="黑体" w:eastAsia="黑体" w:cs="黑体"/>
          <w:color w:val="auto"/>
          <w:spacing w:val="7"/>
          <w:sz w:val="31"/>
          <w:szCs w:val="31"/>
        </w:rPr>
      </w:pPr>
    </w:p>
    <w:p w14:paraId="1C77B1D6">
      <w:pPr>
        <w:keepNext w:val="0"/>
        <w:keepLines w:val="0"/>
        <w:pageBreakBefore w:val="0"/>
        <w:widowControl/>
        <w:kinsoku w:val="0"/>
        <w:wordWrap/>
        <w:overflowPunct/>
        <w:topLinePunct w:val="0"/>
        <w:autoSpaceDE w:val="0"/>
        <w:autoSpaceDN w:val="0"/>
        <w:bidi w:val="0"/>
        <w:adjustRightInd w:val="0"/>
        <w:snapToGrid w:val="0"/>
        <w:spacing w:after="0" w:line="226" w:lineRule="auto"/>
        <w:ind w:left="0"/>
        <w:jc w:val="center"/>
        <w:textAlignment w:val="baseline"/>
        <w:rPr>
          <w:rFonts w:hint="eastAsia" w:ascii="方正小标宋简体" w:hAnsi="方正小标宋简体" w:eastAsia="方正小标宋简体" w:cs="方正小标宋简体"/>
          <w:color w:val="auto"/>
          <w:spacing w:val="7"/>
          <w:sz w:val="32"/>
          <w:szCs w:val="32"/>
        </w:rPr>
      </w:pPr>
      <w:r>
        <w:rPr>
          <w:rFonts w:hint="eastAsia" w:ascii="方正小标宋简体" w:hAnsi="方正小标宋简体" w:eastAsia="方正小标宋简体" w:cs="方正小标宋简体"/>
          <w:color w:val="auto"/>
          <w:spacing w:val="7"/>
          <w:sz w:val="32"/>
          <w:szCs w:val="32"/>
        </w:rPr>
        <w:t>吉首大学</w:t>
      </w:r>
      <w:r>
        <w:rPr>
          <w:rFonts w:hint="eastAsia" w:ascii="方正小标宋简体" w:hAnsi="方正小标宋简体" w:eastAsia="方正小标宋简体" w:cs="方正小标宋简体"/>
          <w:color w:val="auto"/>
          <w:spacing w:val="-58"/>
          <w:sz w:val="32"/>
          <w:szCs w:val="32"/>
        </w:rPr>
        <w:t xml:space="preserve"> </w:t>
      </w:r>
      <w:r>
        <w:rPr>
          <w:rFonts w:hint="eastAsia" w:ascii="方正小标宋简体" w:hAnsi="方正小标宋简体" w:eastAsia="方正小标宋简体" w:cs="方正小标宋简体"/>
          <w:color w:val="auto"/>
          <w:spacing w:val="7"/>
          <w:sz w:val="32"/>
          <w:szCs w:val="32"/>
        </w:rPr>
        <w:t>202</w:t>
      </w:r>
      <w:r>
        <w:rPr>
          <w:rFonts w:hint="eastAsia" w:ascii="方正小标宋简体" w:hAnsi="方正小标宋简体" w:eastAsia="方正小标宋简体" w:cs="方正小标宋简体"/>
          <w:color w:val="auto"/>
          <w:spacing w:val="7"/>
          <w:sz w:val="32"/>
          <w:szCs w:val="32"/>
          <w:lang w:val="en-US" w:eastAsia="zh-CN"/>
        </w:rPr>
        <w:t>5</w:t>
      </w:r>
      <w:r>
        <w:rPr>
          <w:rFonts w:hint="eastAsia" w:ascii="方正小标宋简体" w:hAnsi="方正小标宋简体" w:eastAsia="方正小标宋简体" w:cs="方正小标宋简体"/>
          <w:color w:val="auto"/>
          <w:spacing w:val="-61"/>
          <w:sz w:val="32"/>
          <w:szCs w:val="32"/>
        </w:rPr>
        <w:t xml:space="preserve"> </w:t>
      </w:r>
      <w:r>
        <w:rPr>
          <w:rFonts w:hint="eastAsia" w:ascii="方正小标宋简体" w:hAnsi="方正小标宋简体" w:eastAsia="方正小标宋简体" w:cs="方正小标宋简体"/>
          <w:color w:val="auto"/>
          <w:spacing w:val="7"/>
          <w:sz w:val="32"/>
          <w:szCs w:val="32"/>
        </w:rPr>
        <w:t>年</w:t>
      </w:r>
      <w:r>
        <w:rPr>
          <w:rFonts w:hint="eastAsia" w:ascii="方正小标宋简体" w:hAnsi="方正小标宋简体" w:eastAsia="方正小标宋简体" w:cs="方正小标宋简体"/>
          <w:color w:val="auto"/>
          <w:spacing w:val="7"/>
          <w:sz w:val="32"/>
          <w:szCs w:val="32"/>
          <w:lang w:val="en-US" w:eastAsia="zh-CN"/>
        </w:rPr>
        <w:t>下半年</w:t>
      </w:r>
      <w:r>
        <w:rPr>
          <w:rFonts w:hint="eastAsia" w:ascii="方正小标宋简体" w:hAnsi="方正小标宋简体" w:eastAsia="方正小标宋简体" w:cs="方正小标宋简体"/>
          <w:color w:val="auto"/>
          <w:spacing w:val="7"/>
          <w:sz w:val="32"/>
          <w:szCs w:val="32"/>
        </w:rPr>
        <w:t>同等学力人员申请硕士学位</w:t>
      </w:r>
    </w:p>
    <w:p w14:paraId="3C3E9C26">
      <w:pPr>
        <w:keepNext w:val="0"/>
        <w:keepLines w:val="0"/>
        <w:pageBreakBefore w:val="0"/>
        <w:widowControl/>
        <w:kinsoku w:val="0"/>
        <w:wordWrap/>
        <w:overflowPunct/>
        <w:topLinePunct w:val="0"/>
        <w:autoSpaceDE w:val="0"/>
        <w:autoSpaceDN w:val="0"/>
        <w:bidi w:val="0"/>
        <w:adjustRightInd w:val="0"/>
        <w:snapToGrid w:val="0"/>
        <w:spacing w:after="0" w:line="226" w:lineRule="auto"/>
        <w:ind w:left="0"/>
        <w:jc w:val="center"/>
        <w:textAlignment w:val="baseline"/>
        <w:rPr>
          <w:rFonts w:hint="eastAsia" w:ascii="宋体" w:hAnsi="宋体" w:eastAsia="宋体" w:cs="宋体"/>
          <w:snapToGrid w:val="0"/>
          <w:color w:val="auto"/>
          <w:spacing w:val="-7"/>
          <w:kern w:val="0"/>
          <w:sz w:val="28"/>
          <w:szCs w:val="28"/>
          <w:lang w:val="en-US" w:eastAsia="zh-CN" w:bidi="ar-SA"/>
        </w:rPr>
      </w:pPr>
      <w:r>
        <w:rPr>
          <w:rFonts w:hint="eastAsia" w:ascii="方正小标宋简体" w:hAnsi="方正小标宋简体" w:eastAsia="方正小标宋简体" w:cs="方正小标宋简体"/>
          <w:color w:val="auto"/>
          <w:spacing w:val="7"/>
          <w:sz w:val="32"/>
          <w:szCs w:val="32"/>
        </w:rPr>
        <w:t>收费标准</w:t>
      </w:r>
    </w:p>
    <w:p w14:paraId="34D21D9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宋体" w:hAnsi="宋体" w:eastAsia="宋体" w:cs="宋体"/>
          <w:b/>
          <w:bCs/>
          <w:snapToGrid w:val="0"/>
          <w:color w:val="auto"/>
          <w:spacing w:val="-7"/>
          <w:kern w:val="0"/>
          <w:sz w:val="28"/>
          <w:szCs w:val="28"/>
          <w:lang w:val="en-US" w:eastAsia="zh-CN" w:bidi="ar-SA"/>
        </w:rPr>
      </w:pPr>
      <w:bookmarkStart w:id="0" w:name="_GoBack"/>
      <w:bookmarkEnd w:id="0"/>
      <w:r>
        <w:rPr>
          <w:rFonts w:hint="eastAsia" w:ascii="宋体" w:hAnsi="宋体" w:eastAsia="宋体" w:cs="宋体"/>
          <w:snapToGrid w:val="0"/>
          <w:color w:val="auto"/>
          <w:spacing w:val="0"/>
          <w:kern w:val="0"/>
          <w:sz w:val="28"/>
          <w:szCs w:val="28"/>
          <w:lang w:val="en-US" w:eastAsia="zh-CN" w:bidi="ar-SA"/>
        </w:rPr>
        <w:t>根据《吉首大学接受同等学力人员申请硕士学位管理办法（试行）》，相关学科（专业）学费标准拟定为：第一阶段，通过同等学力人员资格认定后缴纳同等学力申请学位培养费（其中，临床医学类专业学费2.8万元，经济类、管理类专业学费为2.6万元，其他类专业学费为2.4万元）。第二阶段，在通过同等学力人员申请硕士学位外国语水平和学科综合全国统一考试后，准备申请学位时收取同等学力申请学位评审和答辩费，该阶段各专业的学费标准均为1.2万元。</w:t>
      </w:r>
    </w:p>
    <w:p w14:paraId="58B177A9">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宋体" w:hAnsi="宋体" w:eastAsia="宋体" w:cs="宋体"/>
          <w:b/>
          <w:bCs/>
          <w:snapToGrid w:val="0"/>
          <w:color w:val="auto"/>
          <w:spacing w:val="-7"/>
          <w:kern w:val="0"/>
          <w:sz w:val="28"/>
          <w:szCs w:val="28"/>
          <w:lang w:val="en-US" w:eastAsia="zh-CN" w:bidi="ar-SA"/>
        </w:rPr>
      </w:pPr>
    </w:p>
    <w:p w14:paraId="10F556B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宋体" w:hAnsi="宋体" w:eastAsia="宋体" w:cs="宋体"/>
          <w:b/>
          <w:bCs/>
          <w:snapToGrid w:val="0"/>
          <w:color w:val="auto"/>
          <w:spacing w:val="-7"/>
          <w:kern w:val="0"/>
          <w:sz w:val="28"/>
          <w:szCs w:val="28"/>
          <w:lang w:val="en-US" w:eastAsia="zh-CN" w:bidi="ar-SA"/>
        </w:rPr>
      </w:pPr>
      <w:r>
        <w:rPr>
          <w:rFonts w:hint="eastAsia" w:ascii="宋体" w:hAnsi="宋体" w:eastAsia="宋体" w:cs="宋体"/>
          <w:b/>
          <w:bCs/>
          <w:snapToGrid w:val="0"/>
          <w:color w:val="auto"/>
          <w:spacing w:val="-7"/>
          <w:kern w:val="0"/>
          <w:sz w:val="28"/>
          <w:szCs w:val="28"/>
          <w:lang w:val="en-US" w:eastAsia="zh-CN" w:bidi="ar-SA"/>
        </w:rPr>
        <w:t>吉首大学同等学力人员申请硕士学位收费标准表</w:t>
      </w:r>
    </w:p>
    <w:p w14:paraId="2DFB1C75">
      <w:pPr>
        <w:keepNext w:val="0"/>
        <w:keepLines w:val="0"/>
        <w:pageBreakBefore w:val="0"/>
        <w:widowControl/>
        <w:kinsoku w:val="0"/>
        <w:wordWrap/>
        <w:overflowPunct/>
        <w:topLinePunct w:val="0"/>
        <w:autoSpaceDE w:val="0"/>
        <w:autoSpaceDN w:val="0"/>
        <w:bidi w:val="0"/>
        <w:adjustRightInd w:val="0"/>
        <w:snapToGrid w:val="0"/>
        <w:ind w:left="0" w:firstLine="454" w:firstLineChars="200"/>
        <w:jc w:val="center"/>
        <w:textAlignment w:val="baseline"/>
        <w:rPr>
          <w:rFonts w:hint="default" w:ascii="宋体" w:hAnsi="宋体" w:eastAsia="宋体" w:cs="宋体"/>
          <w:b/>
          <w:bCs/>
          <w:snapToGrid w:val="0"/>
          <w:color w:val="auto"/>
          <w:spacing w:val="-7"/>
          <w:kern w:val="0"/>
          <w:sz w:val="24"/>
          <w:szCs w:val="24"/>
          <w:lang w:val="en-US" w:eastAsia="zh-CN" w:bidi="ar-SA"/>
        </w:rPr>
      </w:pPr>
      <w:r>
        <w:rPr>
          <w:rFonts w:hint="eastAsia" w:ascii="宋体" w:hAnsi="宋体" w:eastAsia="宋体" w:cs="宋体"/>
          <w:b/>
          <w:bCs/>
          <w:snapToGrid w:val="0"/>
          <w:color w:val="auto"/>
          <w:spacing w:val="-7"/>
          <w:kern w:val="0"/>
          <w:sz w:val="24"/>
          <w:szCs w:val="24"/>
          <w:lang w:val="en-US" w:eastAsia="zh-CN" w:bidi="ar-SA"/>
        </w:rPr>
        <w:t xml:space="preserve">                                             单位：元/生</w:t>
      </w:r>
    </w:p>
    <w:tbl>
      <w:tblPr>
        <w:tblStyle w:val="6"/>
        <w:tblpPr w:leftFromText="180" w:rightFromText="180" w:vertAnchor="text" w:horzAnchor="page" w:tblpX="2711" w:tblpY="103"/>
        <w:tblOverlap w:val="never"/>
        <w:tblW w:w="68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58"/>
        <w:gridCol w:w="3345"/>
      </w:tblGrid>
      <w:tr w14:paraId="45842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3458" w:type="dxa"/>
            <w:vAlign w:val="bottom"/>
          </w:tcPr>
          <w:p w14:paraId="393D2B8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eastAsia="宋体"/>
                <w:color w:val="auto"/>
                <w:sz w:val="24"/>
                <w:szCs w:val="24"/>
                <w:lang w:val="en-US" w:eastAsia="zh-CN"/>
              </w:rPr>
            </w:pPr>
            <w:r>
              <w:rPr>
                <w:rFonts w:hint="eastAsia"/>
                <w:b/>
                <w:bCs/>
                <w:color w:val="auto"/>
                <w:sz w:val="24"/>
                <w:szCs w:val="24"/>
                <w:lang w:val="en-US" w:eastAsia="zh-CN"/>
              </w:rPr>
              <w:t>收费项目（学科类别代码）</w:t>
            </w:r>
          </w:p>
        </w:tc>
        <w:tc>
          <w:tcPr>
            <w:tcW w:w="3345" w:type="dxa"/>
            <w:vAlign w:val="bottom"/>
          </w:tcPr>
          <w:p w14:paraId="16F9FFB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b/>
                <w:bCs/>
                <w:color w:val="auto"/>
                <w:sz w:val="24"/>
                <w:szCs w:val="24"/>
                <w:lang w:val="en-US" w:eastAsia="zh-CN"/>
              </w:rPr>
            </w:pPr>
            <w:r>
              <w:rPr>
                <w:rFonts w:hint="eastAsia"/>
                <w:b/>
                <w:bCs/>
                <w:color w:val="auto"/>
                <w:sz w:val="24"/>
                <w:szCs w:val="24"/>
                <w:lang w:val="en-US" w:eastAsia="zh-CN"/>
              </w:rPr>
              <w:t>收费标准</w:t>
            </w:r>
          </w:p>
        </w:tc>
      </w:tr>
      <w:tr w14:paraId="24B39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6803" w:type="dxa"/>
            <w:gridSpan w:val="2"/>
            <w:vAlign w:val="center"/>
          </w:tcPr>
          <w:p w14:paraId="10F6FA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color w:val="auto"/>
                <w:sz w:val="24"/>
                <w:szCs w:val="24"/>
              </w:rPr>
            </w:pPr>
            <w:r>
              <w:rPr>
                <w:rFonts w:hint="eastAsia"/>
                <w:b/>
                <w:bCs/>
                <w:color w:val="auto"/>
                <w:sz w:val="24"/>
                <w:szCs w:val="24"/>
                <w:lang w:val="en-US" w:eastAsia="zh-CN"/>
              </w:rPr>
              <w:t>第一阶段学费（课程学习阶段费用）</w:t>
            </w:r>
          </w:p>
        </w:tc>
      </w:tr>
      <w:tr w14:paraId="7E182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2B2E566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经济学类（02）</w:t>
            </w:r>
          </w:p>
        </w:tc>
        <w:tc>
          <w:tcPr>
            <w:tcW w:w="3345" w:type="dxa"/>
            <w:vAlign w:val="center"/>
          </w:tcPr>
          <w:p w14:paraId="7E67CBC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26000</w:t>
            </w:r>
          </w:p>
        </w:tc>
      </w:tr>
      <w:tr w14:paraId="38155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7940C35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法学类（03）</w:t>
            </w:r>
          </w:p>
        </w:tc>
        <w:tc>
          <w:tcPr>
            <w:tcW w:w="3345" w:type="dxa"/>
            <w:vAlign w:val="center"/>
          </w:tcPr>
          <w:p w14:paraId="664CA80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7CC22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6EA7CBE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教育类（04）</w:t>
            </w:r>
          </w:p>
        </w:tc>
        <w:tc>
          <w:tcPr>
            <w:tcW w:w="3345" w:type="dxa"/>
            <w:vAlign w:val="center"/>
          </w:tcPr>
          <w:p w14:paraId="47B57E3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7AC83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0B6FC71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文学类（05）</w:t>
            </w:r>
          </w:p>
        </w:tc>
        <w:tc>
          <w:tcPr>
            <w:tcW w:w="3345" w:type="dxa"/>
            <w:vAlign w:val="center"/>
          </w:tcPr>
          <w:p w14:paraId="0845F38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66ABE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16A5079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历史学类（06）</w:t>
            </w:r>
          </w:p>
        </w:tc>
        <w:tc>
          <w:tcPr>
            <w:tcW w:w="3345" w:type="dxa"/>
            <w:vAlign w:val="center"/>
          </w:tcPr>
          <w:p w14:paraId="100DEB4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00DE6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6F9E88E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理学类（07）</w:t>
            </w:r>
          </w:p>
        </w:tc>
        <w:tc>
          <w:tcPr>
            <w:tcW w:w="3345" w:type="dxa"/>
            <w:vAlign w:val="center"/>
          </w:tcPr>
          <w:p w14:paraId="18B488E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6D850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20F0F18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医学类（10）</w:t>
            </w:r>
          </w:p>
        </w:tc>
        <w:tc>
          <w:tcPr>
            <w:tcW w:w="3345" w:type="dxa"/>
            <w:vAlign w:val="center"/>
          </w:tcPr>
          <w:p w14:paraId="4D94E6E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28000</w:t>
            </w:r>
          </w:p>
        </w:tc>
      </w:tr>
      <w:tr w14:paraId="6CD60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7CBA970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管理学类（12）</w:t>
            </w:r>
          </w:p>
        </w:tc>
        <w:tc>
          <w:tcPr>
            <w:tcW w:w="3345" w:type="dxa"/>
            <w:vAlign w:val="center"/>
          </w:tcPr>
          <w:p w14:paraId="48DC15A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26000</w:t>
            </w:r>
          </w:p>
        </w:tc>
      </w:tr>
      <w:tr w14:paraId="2237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803" w:type="dxa"/>
            <w:gridSpan w:val="2"/>
            <w:vAlign w:val="center"/>
          </w:tcPr>
          <w:p w14:paraId="03944FC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b/>
                <w:bCs/>
                <w:color w:val="auto"/>
                <w:sz w:val="24"/>
                <w:szCs w:val="24"/>
                <w:lang w:val="en-US" w:eastAsia="zh-CN"/>
              </w:rPr>
              <w:t>第二阶段学费（申请学位评审费和答辩费）</w:t>
            </w:r>
          </w:p>
        </w:tc>
      </w:tr>
      <w:tr w14:paraId="2C418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5297777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b/>
                <w:bCs/>
                <w:color w:val="auto"/>
                <w:sz w:val="24"/>
                <w:szCs w:val="24"/>
                <w:lang w:val="en-US" w:eastAsia="zh-CN"/>
              </w:rPr>
            </w:pPr>
            <w:r>
              <w:rPr>
                <w:rFonts w:hint="default" w:ascii="Times New Roman" w:hAnsi="Times New Roman" w:cs="Times New Roman"/>
                <w:color w:val="auto"/>
                <w:sz w:val="24"/>
                <w:szCs w:val="24"/>
                <w:lang w:val="en-US" w:eastAsia="zh-CN"/>
              </w:rPr>
              <w:t>各类专业</w:t>
            </w:r>
          </w:p>
        </w:tc>
        <w:tc>
          <w:tcPr>
            <w:tcW w:w="3345" w:type="dxa"/>
            <w:vAlign w:val="center"/>
          </w:tcPr>
          <w:p w14:paraId="7C0E819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12000</w:t>
            </w:r>
          </w:p>
        </w:tc>
      </w:tr>
    </w:tbl>
    <w:p w14:paraId="08881DEF">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01494AB">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20E64A8">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07E54D0B">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520A2837">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93EAB7A">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02EABE3">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5EA0252">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109B5460">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1579707">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26E35D9E">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027D7679">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5D17808C">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50C7DF3">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6A8DF5F3">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00B86D31">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77EE65D6">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212DF10">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18BAA0E7">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8A86D01">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952" w:firstLineChars="400"/>
        <w:textAlignment w:val="baseline"/>
      </w:pPr>
      <w:r>
        <w:rPr>
          <w:rFonts w:ascii="宋体" w:hAnsi="宋体" w:eastAsia="宋体" w:cs="宋体"/>
          <w:color w:val="auto"/>
          <w:spacing w:val="-1"/>
          <w:sz w:val="24"/>
          <w:szCs w:val="24"/>
        </w:rPr>
        <w:t>备注：上述学费标准最终以收费工作上级主管部门批复为准。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jVlNDdmMWUzODMxYjkzODgyOTNhNjg3MTUzYmIifQ=="/>
  </w:docVars>
  <w:rsids>
    <w:rsidRoot w:val="3B320FAF"/>
    <w:rsid w:val="001008A5"/>
    <w:rsid w:val="093043C0"/>
    <w:rsid w:val="097B7C92"/>
    <w:rsid w:val="0D6F0C50"/>
    <w:rsid w:val="0D8270C3"/>
    <w:rsid w:val="0DAB4586"/>
    <w:rsid w:val="0ED66019"/>
    <w:rsid w:val="0F4E650E"/>
    <w:rsid w:val="14EE1784"/>
    <w:rsid w:val="15B907F5"/>
    <w:rsid w:val="16656CE4"/>
    <w:rsid w:val="17C67851"/>
    <w:rsid w:val="1955068C"/>
    <w:rsid w:val="1B8410F8"/>
    <w:rsid w:val="1C8B2CBE"/>
    <w:rsid w:val="1ED1624D"/>
    <w:rsid w:val="1FDD5089"/>
    <w:rsid w:val="236F18A6"/>
    <w:rsid w:val="253F64BD"/>
    <w:rsid w:val="2676688C"/>
    <w:rsid w:val="28A43869"/>
    <w:rsid w:val="2C1C2B04"/>
    <w:rsid w:val="2F7F5738"/>
    <w:rsid w:val="30CF33A2"/>
    <w:rsid w:val="32E719D0"/>
    <w:rsid w:val="36AC3555"/>
    <w:rsid w:val="382826B3"/>
    <w:rsid w:val="3B320FAF"/>
    <w:rsid w:val="3D2F004C"/>
    <w:rsid w:val="3D454F38"/>
    <w:rsid w:val="3D596757"/>
    <w:rsid w:val="3DCB3BA0"/>
    <w:rsid w:val="3E6B16AB"/>
    <w:rsid w:val="3FBB84D4"/>
    <w:rsid w:val="44350345"/>
    <w:rsid w:val="4D6F48D9"/>
    <w:rsid w:val="4EC41310"/>
    <w:rsid w:val="4FEE066C"/>
    <w:rsid w:val="514177DA"/>
    <w:rsid w:val="516511A3"/>
    <w:rsid w:val="58416F68"/>
    <w:rsid w:val="5A7D222D"/>
    <w:rsid w:val="5B196371"/>
    <w:rsid w:val="5B494186"/>
    <w:rsid w:val="5C443837"/>
    <w:rsid w:val="65FA4445"/>
    <w:rsid w:val="660715C7"/>
    <w:rsid w:val="7DC06E95"/>
    <w:rsid w:val="7E230A6A"/>
    <w:rsid w:val="7F121544"/>
    <w:rsid w:val="7F48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Table Text"/>
    <w:basedOn w:val="1"/>
    <w:semiHidden/>
    <w:qFormat/>
    <w:uiPriority w:val="0"/>
    <w:rPr>
      <w:rFonts w:ascii="宋体" w:hAnsi="宋体" w:eastAsia="宋体" w:cs="宋体"/>
      <w:sz w:val="22"/>
      <w:szCs w:val="22"/>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401</Words>
  <Characters>456</Characters>
  <Lines>0</Lines>
  <Paragraphs>0</Paragraphs>
  <TotalTime>2</TotalTime>
  <ScaleCrop>false</ScaleCrop>
  <LinksUpToDate>false</LinksUpToDate>
  <CharactersWithSpaces>503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2024-06-18T17:43:00Z</dcterms:created>
  <dc:creator>宋佳骏</dc:creator>
  <cp:lastModifiedBy>宋佳骏</cp:lastModifiedBy>
  <dcterms:modified xsi:type="dcterms:W3CDTF">2025-11-13T01:27:36Z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1098BA5A896940E59885A077AC5001DA_11</vt:lpwstr>
  </property>
  <property fmtid="{D5CDD505-2E9C-101B-9397-08002B2CF9AE}" pid="4" name="KSOTemplateDocerSaveRecord">
    <vt:lpwstr>eyJoZGlkIjoiODc0MjVlNDdmMWUzODMxYjkzODgyOTNhNjg3MTUzYmIiLCJ1c2VySWQiOiIzMDQ3Mzg5MTMifQ==</vt:lpwstr>
  </property>
</Properties>
</file>